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F4" w:rsidRPr="00554EC7" w:rsidRDefault="008E1DF4" w:rsidP="008E1DF4">
      <w:pPr>
        <w:jc w:val="center"/>
        <w:rPr>
          <w:b/>
          <w:sz w:val="20"/>
          <w:szCs w:val="20"/>
        </w:rPr>
      </w:pPr>
      <w:bookmarkStart w:id="0" w:name="_GoBack"/>
      <w:bookmarkEnd w:id="0"/>
      <w:r w:rsidRPr="00554EC7">
        <w:rPr>
          <w:b/>
          <w:sz w:val="20"/>
          <w:szCs w:val="20"/>
        </w:rPr>
        <w:t xml:space="preserve">Ανάλυση των γενικών κριτηρίων πιστοποίησης της ποιότητας </w:t>
      </w:r>
      <w:r w:rsidRPr="00554EC7">
        <w:rPr>
          <w:b/>
          <w:sz w:val="20"/>
          <w:szCs w:val="20"/>
        </w:rPr>
        <w:br/>
        <w:t>των Προγραμμάτων Σπουδών</w:t>
      </w:r>
    </w:p>
    <w:p w:rsidR="008E1DF4" w:rsidRPr="00554EC7" w:rsidRDefault="008E1DF4" w:rsidP="008E1DF4">
      <w:pPr>
        <w:tabs>
          <w:tab w:val="left" w:pos="1298"/>
          <w:tab w:val="left" w:pos="1701"/>
          <w:tab w:val="left" w:pos="1985"/>
        </w:tabs>
        <w:spacing w:before="240" w:after="60" w:line="264" w:lineRule="auto"/>
        <w:ind w:left="-142" w:hanging="425"/>
        <w:jc w:val="both"/>
        <w:rPr>
          <w:rFonts w:cs="Arial"/>
          <w:b/>
          <w:sz w:val="20"/>
          <w:szCs w:val="20"/>
        </w:rPr>
      </w:pPr>
      <w:r w:rsidRPr="00554EC7">
        <w:rPr>
          <w:rFonts w:cs="Arial"/>
          <w:b/>
          <w:sz w:val="20"/>
          <w:szCs w:val="20"/>
        </w:rPr>
        <w:t xml:space="preserve">α) </w:t>
      </w:r>
      <w:r w:rsidRPr="00554EC7">
        <w:rPr>
          <w:rFonts w:cs="Arial"/>
          <w:b/>
          <w:sz w:val="20"/>
          <w:szCs w:val="20"/>
        </w:rPr>
        <w:tab/>
        <w:t>Η ακαδημαϊκή φυσιογνωμία και ο προσανατολισμός του Προγράμματος Σπουδών</w:t>
      </w:r>
    </w:p>
    <w:p w:rsidR="008E1DF4" w:rsidRPr="00554EC7" w:rsidRDefault="008E1DF4" w:rsidP="008E1DF4">
      <w:pPr>
        <w:numPr>
          <w:ilvl w:val="1"/>
          <w:numId w:val="1"/>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Ανταπόκριση του Προγράμματος Σπουδών στους στόχους του Τμήματος και τις ανάγκες της κοινωνίας.</w:t>
      </w:r>
    </w:p>
    <w:p w:rsidR="008E1DF4" w:rsidRPr="00554EC7" w:rsidRDefault="008E1DF4" w:rsidP="008E1DF4">
      <w:pPr>
        <w:numPr>
          <w:ilvl w:val="1"/>
          <w:numId w:val="1"/>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Ύπαρξη διαδικασιών ελέγχου της ανταπόκρισης αυτής. Πόσο αποτελεσματικά αξιοποιήθηκαν στη διαδικασία σύνταξης του προγράμματος.</w:t>
      </w:r>
    </w:p>
    <w:p w:rsidR="008E1DF4" w:rsidRPr="00554EC7" w:rsidRDefault="008E1DF4" w:rsidP="008E1DF4">
      <w:pPr>
        <w:numPr>
          <w:ilvl w:val="1"/>
          <w:numId w:val="1"/>
        </w:numPr>
        <w:tabs>
          <w:tab w:val="left" w:pos="1298"/>
          <w:tab w:val="left" w:pos="1701"/>
          <w:tab w:val="left" w:pos="1985"/>
        </w:tabs>
        <w:spacing w:after="60" w:line="264" w:lineRule="auto"/>
        <w:jc w:val="both"/>
        <w:rPr>
          <w:sz w:val="20"/>
          <w:szCs w:val="20"/>
        </w:rPr>
      </w:pPr>
      <w:r w:rsidRPr="00554EC7">
        <w:rPr>
          <w:i/>
          <w:color w:val="000000"/>
          <w:sz w:val="20"/>
          <w:szCs w:val="20"/>
        </w:rPr>
        <w:t>Οι στόχοι του προγράμματος είναι κατάλληλοι με το είδος και το επίπεδο των σπουδών.</w:t>
      </w:r>
    </w:p>
    <w:p w:rsidR="008E1DF4" w:rsidRPr="00554EC7" w:rsidRDefault="008E1DF4" w:rsidP="008E1DF4">
      <w:pPr>
        <w:numPr>
          <w:ilvl w:val="1"/>
          <w:numId w:val="1"/>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Οι στόχοι του προγράμματος και των μαθησιακών αποτελεσμάτων καθορίζονται με σαφήνεια και οι αντίστοιχες πληροφορίες είναι εύκολα προσβάσιμες από κάθε ενδιαφερόμενο.</w:t>
      </w:r>
    </w:p>
    <w:p w:rsidR="008E1DF4" w:rsidRPr="00554EC7" w:rsidRDefault="008E1DF4" w:rsidP="008E1DF4">
      <w:pPr>
        <w:numPr>
          <w:ilvl w:val="1"/>
          <w:numId w:val="1"/>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Η ακαδημαϊκή φυσιογνωμία του Προγράμματος Σπουδών είναι συμβατή με αντίστοιχα προγράμματα σπουδών στον ΕΧΑΕ και γενικότερα διεθνώς. Αποτελέσματα συγκριτικής προτυποποίησης (benchmarking).</w:t>
      </w:r>
    </w:p>
    <w:p w:rsidR="008E1DF4" w:rsidRPr="00554EC7" w:rsidRDefault="008E1DF4" w:rsidP="008E1DF4">
      <w:pPr>
        <w:numPr>
          <w:ilvl w:val="1"/>
          <w:numId w:val="1"/>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Πλεονεκτήματα, ισχυρά σημεία ή διαφοροποιήσεις του Προγράμματος σε σχέση με παρόμοια άλλων ελληνικών ΑΕΙ</w:t>
      </w:r>
    </w:p>
    <w:p w:rsidR="008E1DF4" w:rsidRPr="00554EC7" w:rsidRDefault="008E1DF4" w:rsidP="008E1DF4">
      <w:pPr>
        <w:tabs>
          <w:tab w:val="left" w:pos="1298"/>
          <w:tab w:val="left" w:pos="1701"/>
          <w:tab w:val="left" w:pos="1985"/>
        </w:tabs>
        <w:spacing w:before="240" w:after="60" w:line="264" w:lineRule="auto"/>
        <w:ind w:left="-142" w:hanging="425"/>
        <w:jc w:val="both"/>
        <w:rPr>
          <w:rFonts w:cs="Arial"/>
          <w:b/>
          <w:sz w:val="20"/>
          <w:szCs w:val="20"/>
        </w:rPr>
      </w:pPr>
      <w:r w:rsidRPr="00554EC7">
        <w:rPr>
          <w:rFonts w:cs="Arial"/>
          <w:b/>
          <w:sz w:val="20"/>
          <w:szCs w:val="20"/>
        </w:rPr>
        <w:t>β)</w:t>
      </w:r>
      <w:r w:rsidRPr="00554EC7">
        <w:rPr>
          <w:rFonts w:cs="Arial"/>
          <w:b/>
          <w:color w:val="333333"/>
          <w:sz w:val="20"/>
          <w:szCs w:val="20"/>
        </w:rPr>
        <w:t xml:space="preserve"> </w:t>
      </w:r>
      <w:r w:rsidRPr="00554EC7">
        <w:rPr>
          <w:rFonts w:cs="Arial"/>
          <w:b/>
          <w:color w:val="333333"/>
          <w:sz w:val="20"/>
          <w:szCs w:val="20"/>
        </w:rPr>
        <w:tab/>
        <w:t>Τ</w:t>
      </w:r>
      <w:r w:rsidRPr="00554EC7">
        <w:rPr>
          <w:rFonts w:cs="Arial"/>
          <w:b/>
          <w:sz w:val="20"/>
          <w:szCs w:val="20"/>
        </w:rPr>
        <w:t>α μαθησιακά αποτελέσματα και τα επιδιωκόμενα προσόντα σύμφωνα με το Εθνικό Πλαίσιο Προσόντων Ανώτατης Εκπαίδευσης</w:t>
      </w:r>
    </w:p>
    <w:p w:rsidR="008E1DF4" w:rsidRPr="00554EC7" w:rsidRDefault="008E1DF4" w:rsidP="008E1DF4">
      <w:pPr>
        <w:numPr>
          <w:ilvl w:val="1"/>
          <w:numId w:val="2"/>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Τα μαθησιακά αποτελέσματα, συνδέονται με τους στόχους του προγράμματος.</w:t>
      </w:r>
    </w:p>
    <w:p w:rsidR="008E1DF4" w:rsidRPr="00554EC7" w:rsidRDefault="008E1DF4" w:rsidP="008E1DF4">
      <w:pPr>
        <w:numPr>
          <w:ilvl w:val="1"/>
          <w:numId w:val="2"/>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Τα μαθησιακά αποτελέσματα είναι κατάλληλα με το είδος και το επίπεδο των σπουδών καθώς και το επίπεδο των προσόντων του αντίστοιχου τίτλου σπουδών όπως αυτά καθορίζονται από το Ευρωπαϊκό και Εθνικό Πλαίσιο Προσόντων.</w:t>
      </w:r>
    </w:p>
    <w:p w:rsidR="008E1DF4" w:rsidRPr="00554EC7" w:rsidRDefault="008E1DF4" w:rsidP="008E1DF4">
      <w:pPr>
        <w:numPr>
          <w:ilvl w:val="1"/>
          <w:numId w:val="2"/>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Οι στόχοι του προγράμματος και των μαθησιακών αποτελεσμάτων βασίζονται σε ακαδημαϊκές και / ή επαγγελματικές απαιτήσεις, στις ανάγκες της κοινωνίας / οικονομίας και τις ανάγκες της αγοράς εργασίας.</w:t>
      </w:r>
    </w:p>
    <w:p w:rsidR="008E1DF4" w:rsidRPr="00554EC7" w:rsidRDefault="008E1DF4" w:rsidP="008E1DF4">
      <w:pPr>
        <w:numPr>
          <w:ilvl w:val="1"/>
          <w:numId w:val="2"/>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Ο τίτλος του προγράμματος, τα μαθησιακά αποτελέσματα, και το περιεχόμενο είναι συμβατά μεταξύ τους.</w:t>
      </w:r>
    </w:p>
    <w:p w:rsidR="008E1DF4" w:rsidRPr="00554EC7" w:rsidRDefault="008E1DF4" w:rsidP="008E1DF4">
      <w:pPr>
        <w:tabs>
          <w:tab w:val="left" w:pos="1298"/>
          <w:tab w:val="left" w:pos="1701"/>
          <w:tab w:val="left" w:pos="1985"/>
        </w:tabs>
        <w:spacing w:before="240" w:after="60" w:line="264" w:lineRule="auto"/>
        <w:ind w:left="-142" w:hanging="425"/>
        <w:jc w:val="both"/>
        <w:rPr>
          <w:rFonts w:cs="Arial"/>
          <w:b/>
          <w:sz w:val="20"/>
          <w:szCs w:val="20"/>
        </w:rPr>
      </w:pPr>
      <w:r w:rsidRPr="00554EC7">
        <w:rPr>
          <w:rFonts w:cs="Arial"/>
          <w:b/>
          <w:sz w:val="20"/>
          <w:szCs w:val="20"/>
        </w:rPr>
        <w:t xml:space="preserve">γ) </w:t>
      </w:r>
      <w:r w:rsidRPr="00554EC7">
        <w:rPr>
          <w:rFonts w:cs="Arial"/>
          <w:b/>
          <w:sz w:val="20"/>
          <w:szCs w:val="20"/>
        </w:rPr>
        <w:tab/>
        <w:t>Η δομή και η οργάνωση του Προγράμματος Σπουδών</w:t>
      </w:r>
    </w:p>
    <w:p w:rsidR="008E1DF4" w:rsidRPr="00554EC7" w:rsidRDefault="008E1DF4" w:rsidP="008E1DF4">
      <w:pPr>
        <w:numPr>
          <w:ilvl w:val="1"/>
          <w:numId w:val="3"/>
        </w:numPr>
        <w:tabs>
          <w:tab w:val="left" w:pos="1298"/>
          <w:tab w:val="left" w:pos="1701"/>
          <w:tab w:val="left" w:pos="1985"/>
        </w:tabs>
        <w:spacing w:after="60" w:line="264" w:lineRule="auto"/>
        <w:jc w:val="both"/>
        <w:rPr>
          <w:i/>
          <w:sz w:val="20"/>
          <w:szCs w:val="20"/>
        </w:rPr>
      </w:pPr>
      <w:r w:rsidRPr="00554EC7">
        <w:rPr>
          <w:i/>
          <w:color w:val="000000"/>
          <w:sz w:val="20"/>
          <w:szCs w:val="20"/>
        </w:rPr>
        <w:t xml:space="preserve">Ο </w:t>
      </w:r>
      <w:r w:rsidRPr="00554EC7">
        <w:rPr>
          <w:i/>
          <w:sz w:val="20"/>
          <w:szCs w:val="20"/>
        </w:rPr>
        <w:t>σχεδιασμός του προγράμματος σπουδών πληροί τις απαιτήσεις της νομοθεσίας και των ευρωπαϊκών / εθνικών πολιτικών.</w:t>
      </w:r>
    </w:p>
    <w:p w:rsidR="008E1DF4" w:rsidRPr="00554EC7" w:rsidRDefault="008E1DF4" w:rsidP="008E1DF4">
      <w:pPr>
        <w:numPr>
          <w:ilvl w:val="1"/>
          <w:numId w:val="3"/>
        </w:numPr>
        <w:tabs>
          <w:tab w:val="left" w:pos="1298"/>
          <w:tab w:val="left" w:pos="1701"/>
          <w:tab w:val="left" w:pos="1985"/>
        </w:tabs>
        <w:spacing w:after="60" w:line="264" w:lineRule="auto"/>
        <w:jc w:val="both"/>
        <w:rPr>
          <w:i/>
          <w:sz w:val="20"/>
          <w:szCs w:val="20"/>
        </w:rPr>
      </w:pPr>
      <w:r w:rsidRPr="00554EC7">
        <w:rPr>
          <w:i/>
          <w:sz w:val="20"/>
          <w:szCs w:val="20"/>
        </w:rPr>
        <w:t>Το Πρόγραμμα Σπουδών είναι δομημένο με βάση το Ευρωπαϊκό Σύστημα Μεταφοράς Πιστωτικών Μονάδων (ECTS) και εφαρμόζονται οι σχετικές διαδικασίες (π.χ. σύνδεση φόρτου εργασίας με πιστωτικές μονάδες, βαρύτητα πιστωτικών μονάδων στο βαθμό πτυχίου, κατάταξη βαθμολογίας πτυχίου, κ.λπ.).</w:t>
      </w:r>
    </w:p>
    <w:p w:rsidR="008E1DF4" w:rsidRPr="00554EC7" w:rsidRDefault="008E1DF4" w:rsidP="008E1DF4">
      <w:pPr>
        <w:numPr>
          <w:ilvl w:val="1"/>
          <w:numId w:val="3"/>
        </w:numPr>
        <w:tabs>
          <w:tab w:val="left" w:pos="1298"/>
          <w:tab w:val="left" w:pos="1701"/>
          <w:tab w:val="left" w:pos="1985"/>
        </w:tabs>
        <w:spacing w:after="60" w:line="264" w:lineRule="auto"/>
        <w:jc w:val="both"/>
        <w:rPr>
          <w:i/>
          <w:color w:val="000000"/>
          <w:sz w:val="20"/>
          <w:szCs w:val="20"/>
        </w:rPr>
      </w:pPr>
      <w:r w:rsidRPr="00554EC7">
        <w:rPr>
          <w:i/>
          <w:sz w:val="20"/>
          <w:szCs w:val="20"/>
        </w:rPr>
        <w:t>Υπάρχουν αναλυτικά περιγράμματα μαθημάτων, όπου καθορίζονται με σαφήνεια τα επιδιωκόμενα μαθησιακά</w:t>
      </w:r>
      <w:r w:rsidRPr="00554EC7">
        <w:rPr>
          <w:i/>
          <w:color w:val="000000"/>
          <w:sz w:val="20"/>
          <w:szCs w:val="20"/>
        </w:rPr>
        <w:t xml:space="preserve"> αποτελέσματα του μαθήματος, το περιεχόμενο, οι διδακτικές και μαθησιακές προσεγγίσεις και ο τρόπος αξιολόγησης της επίδοσης των φοιτητών.</w:t>
      </w:r>
    </w:p>
    <w:p w:rsidR="008E1DF4" w:rsidRPr="00554EC7" w:rsidRDefault="008E1DF4" w:rsidP="008E1DF4">
      <w:pPr>
        <w:numPr>
          <w:ilvl w:val="1"/>
          <w:numId w:val="3"/>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Το περιεχόμενο των μαθημάτων και / ή ενοτήτων είναι σύμφωνα με το είδος και το επίπεδο των σπουδών.</w:t>
      </w:r>
    </w:p>
    <w:p w:rsidR="008E1DF4" w:rsidRPr="00554EC7" w:rsidRDefault="008E1DF4" w:rsidP="008E1DF4">
      <w:pPr>
        <w:numPr>
          <w:ilvl w:val="1"/>
          <w:numId w:val="3"/>
        </w:numPr>
        <w:tabs>
          <w:tab w:val="left" w:pos="1298"/>
          <w:tab w:val="left" w:pos="1701"/>
          <w:tab w:val="left" w:pos="1985"/>
        </w:tabs>
        <w:spacing w:after="60" w:line="264" w:lineRule="auto"/>
        <w:jc w:val="both"/>
        <w:rPr>
          <w:i/>
          <w:sz w:val="20"/>
          <w:szCs w:val="20"/>
        </w:rPr>
      </w:pPr>
      <w:r w:rsidRPr="00554EC7">
        <w:rPr>
          <w:i/>
          <w:sz w:val="20"/>
          <w:szCs w:val="20"/>
        </w:rPr>
        <w:t>Η αναλογία μαθημάτων Γενικού Υποβάθρου / Ειδικού Υποβάθρου / Ειδικότητας είναι κατάλληλη για το αντίστοιχο επίπεδο του Προγράμματος Σπουδών σύμφωνα με το Εθνικό Πλαίσιο Προσόντων. Το πρόγραμμα περιλαμβάνει μαθήματα Ανθρωπιστικών Σπουδών.</w:t>
      </w:r>
    </w:p>
    <w:p w:rsidR="008E1DF4" w:rsidRPr="00554EC7" w:rsidRDefault="008E1DF4" w:rsidP="008E1DF4">
      <w:pPr>
        <w:numPr>
          <w:ilvl w:val="1"/>
          <w:numId w:val="3"/>
        </w:numPr>
        <w:tabs>
          <w:tab w:val="left" w:pos="1298"/>
          <w:tab w:val="left" w:pos="1701"/>
          <w:tab w:val="left" w:pos="1985"/>
        </w:tabs>
        <w:spacing w:after="60" w:line="264" w:lineRule="auto"/>
        <w:jc w:val="both"/>
        <w:rPr>
          <w:i/>
          <w:sz w:val="20"/>
          <w:szCs w:val="20"/>
        </w:rPr>
      </w:pPr>
      <w:r w:rsidRPr="00554EC7">
        <w:rPr>
          <w:i/>
          <w:color w:val="000000"/>
          <w:sz w:val="20"/>
          <w:szCs w:val="20"/>
        </w:rPr>
        <w:t xml:space="preserve">Τα μαθήματα και οι ενότητες μαθημάτων κατανέμονται ομοιόμορφα, χωρίς υπερβολικές επικαλύψεις </w:t>
      </w:r>
      <w:r w:rsidRPr="00554EC7">
        <w:rPr>
          <w:i/>
          <w:sz w:val="20"/>
          <w:szCs w:val="20"/>
        </w:rPr>
        <w:t>και υποστηρίζονται από αλληλουχίες προαπαιτούμενων μαθημάτων.</w:t>
      </w:r>
    </w:p>
    <w:p w:rsidR="008E1DF4" w:rsidRPr="00554EC7" w:rsidRDefault="008E1DF4" w:rsidP="008E1DF4">
      <w:pPr>
        <w:numPr>
          <w:ilvl w:val="1"/>
          <w:numId w:val="3"/>
        </w:numPr>
        <w:tabs>
          <w:tab w:val="left" w:pos="1298"/>
          <w:tab w:val="left" w:pos="1701"/>
          <w:tab w:val="left" w:pos="1985"/>
        </w:tabs>
        <w:spacing w:after="60" w:line="264" w:lineRule="auto"/>
        <w:ind w:left="714" w:hanging="357"/>
        <w:jc w:val="both"/>
        <w:rPr>
          <w:i/>
          <w:sz w:val="20"/>
          <w:szCs w:val="20"/>
        </w:rPr>
      </w:pPr>
      <w:r w:rsidRPr="00554EC7">
        <w:rPr>
          <w:i/>
          <w:color w:val="000000"/>
          <w:sz w:val="20"/>
          <w:szCs w:val="20"/>
        </w:rPr>
        <w:lastRenderedPageBreak/>
        <w:t xml:space="preserve">Το περιεχόμενο των μαθημάτων και / ή ενοτήτων </w:t>
      </w:r>
      <w:r w:rsidRPr="00554EC7">
        <w:rPr>
          <w:i/>
          <w:sz w:val="20"/>
          <w:szCs w:val="20"/>
        </w:rPr>
        <w:t>και οι αντίστοιχες εκπαιδευτικές δραστηριότητες είναι κατάλληλες για την επίτευξη των επιδιωκόμενων μαθησιακών αποτελεσμάτων σε ότι αφορά τις αποκτώμενες γνώσεις, δεξιότητες και ικανότητες.</w:t>
      </w:r>
    </w:p>
    <w:p w:rsidR="008E1DF4" w:rsidRPr="00554EC7" w:rsidRDefault="008E1DF4" w:rsidP="008E1DF4">
      <w:pPr>
        <w:numPr>
          <w:ilvl w:val="1"/>
          <w:numId w:val="3"/>
        </w:numPr>
        <w:tabs>
          <w:tab w:val="left" w:pos="1298"/>
          <w:tab w:val="left" w:pos="1701"/>
          <w:tab w:val="left" w:pos="1985"/>
        </w:tabs>
        <w:spacing w:after="60" w:line="264" w:lineRule="auto"/>
        <w:ind w:left="714" w:hanging="357"/>
        <w:jc w:val="both"/>
        <w:rPr>
          <w:i/>
          <w:color w:val="000000"/>
          <w:sz w:val="20"/>
          <w:szCs w:val="20"/>
        </w:rPr>
      </w:pPr>
      <w:r w:rsidRPr="00554EC7">
        <w:rPr>
          <w:i/>
          <w:color w:val="000000"/>
          <w:sz w:val="20"/>
          <w:szCs w:val="20"/>
        </w:rPr>
        <w:t>Το εύρος του Προγράμματος είναι επαρκές για την εξασφάλιση των μαθησιακών αποτελεσμάτων.</w:t>
      </w:r>
    </w:p>
    <w:p w:rsidR="008E1DF4" w:rsidRPr="00554EC7" w:rsidRDefault="008E1DF4" w:rsidP="008E1DF4">
      <w:pPr>
        <w:numPr>
          <w:ilvl w:val="1"/>
          <w:numId w:val="3"/>
        </w:numPr>
        <w:tabs>
          <w:tab w:val="left" w:pos="1298"/>
          <w:tab w:val="left" w:pos="1701"/>
          <w:tab w:val="left" w:pos="1985"/>
        </w:tabs>
        <w:spacing w:after="60" w:line="264" w:lineRule="auto"/>
        <w:ind w:left="714" w:hanging="357"/>
        <w:jc w:val="both"/>
        <w:rPr>
          <w:i/>
          <w:color w:val="000000"/>
          <w:sz w:val="20"/>
          <w:szCs w:val="20"/>
        </w:rPr>
      </w:pPr>
      <w:r w:rsidRPr="00554EC7">
        <w:rPr>
          <w:i/>
          <w:color w:val="000000"/>
          <w:sz w:val="20"/>
          <w:szCs w:val="20"/>
        </w:rPr>
        <w:t>Το περιεχόμενο του προγράμματος αντικατοπτρίζει τα τελευταία επιτεύγματα / εξελίξεις στην επιστήμη, στις τέχνες και στην τεχνολογία.</w:t>
      </w:r>
    </w:p>
    <w:p w:rsidR="008E1DF4" w:rsidRPr="00554EC7" w:rsidRDefault="008E1DF4" w:rsidP="008E1DF4">
      <w:pPr>
        <w:numPr>
          <w:ilvl w:val="1"/>
          <w:numId w:val="3"/>
        </w:numPr>
        <w:tabs>
          <w:tab w:val="left" w:pos="1298"/>
          <w:tab w:val="left" w:pos="1701"/>
          <w:tab w:val="left" w:pos="1985"/>
        </w:tabs>
        <w:spacing w:after="60" w:line="264" w:lineRule="auto"/>
        <w:ind w:left="714" w:hanging="357"/>
        <w:jc w:val="both"/>
        <w:rPr>
          <w:i/>
          <w:color w:val="000000"/>
          <w:sz w:val="20"/>
          <w:szCs w:val="20"/>
        </w:rPr>
      </w:pPr>
      <w:r w:rsidRPr="00554EC7">
        <w:rPr>
          <w:i/>
          <w:color w:val="000000"/>
          <w:sz w:val="20"/>
          <w:szCs w:val="20"/>
        </w:rPr>
        <w:t>Δίνεται ευελιξία επιλογών / δυνατότητα προσαρμογής στις προσωπικές ανάγκες ή απαιτήσεις των φοιτητών.</w:t>
      </w:r>
    </w:p>
    <w:p w:rsidR="008E1DF4" w:rsidRPr="00554EC7" w:rsidRDefault="008E1DF4" w:rsidP="008E1DF4">
      <w:pPr>
        <w:numPr>
          <w:ilvl w:val="1"/>
          <w:numId w:val="3"/>
        </w:numPr>
        <w:tabs>
          <w:tab w:val="left" w:pos="1298"/>
          <w:tab w:val="left" w:pos="1701"/>
          <w:tab w:val="left" w:pos="1985"/>
        </w:tabs>
        <w:spacing w:after="60" w:line="264" w:lineRule="auto"/>
        <w:ind w:left="714" w:hanging="357"/>
        <w:jc w:val="both"/>
        <w:rPr>
          <w:i/>
          <w:sz w:val="20"/>
          <w:szCs w:val="20"/>
        </w:rPr>
      </w:pPr>
      <w:r w:rsidRPr="00554EC7">
        <w:rPr>
          <w:i/>
          <w:color w:val="000000"/>
          <w:sz w:val="20"/>
          <w:szCs w:val="20"/>
        </w:rPr>
        <w:t xml:space="preserve">Διεθνής διάσταση του προγράμματος </w:t>
      </w:r>
      <w:r w:rsidRPr="00554EC7">
        <w:rPr>
          <w:i/>
          <w:sz w:val="20"/>
          <w:szCs w:val="20"/>
        </w:rPr>
        <w:t>σπουδών (Συνεργασίες με αντίστοιχα Τμήματα / προγράμματα σπουδών στον Ευρωπαϊκό και διεθνή χώρο, Προσέλκυση φοιτητών από συνεργαζόμενα ιδρύματα, Προσέλκυση επισκεπτών καθηγητών, Συμμετοχή φοιτητών και καθηγητών σε προγράμματα ανταλλαγών).</w:t>
      </w:r>
    </w:p>
    <w:p w:rsidR="008E1DF4" w:rsidRPr="00554EC7" w:rsidRDefault="008E1DF4" w:rsidP="008E1DF4">
      <w:pPr>
        <w:tabs>
          <w:tab w:val="left" w:pos="1298"/>
          <w:tab w:val="left" w:pos="1701"/>
          <w:tab w:val="left" w:pos="1985"/>
        </w:tabs>
        <w:spacing w:before="240" w:after="60" w:line="264" w:lineRule="auto"/>
        <w:ind w:left="-142" w:hanging="425"/>
        <w:jc w:val="both"/>
        <w:rPr>
          <w:rFonts w:cs="Arial"/>
          <w:b/>
          <w:sz w:val="20"/>
          <w:szCs w:val="20"/>
        </w:rPr>
      </w:pPr>
      <w:r w:rsidRPr="00554EC7">
        <w:rPr>
          <w:rFonts w:cs="Arial"/>
          <w:b/>
          <w:sz w:val="20"/>
          <w:szCs w:val="20"/>
        </w:rPr>
        <w:t xml:space="preserve">δ) </w:t>
      </w:r>
      <w:r w:rsidRPr="00554EC7">
        <w:rPr>
          <w:rFonts w:cs="Arial"/>
          <w:b/>
          <w:sz w:val="20"/>
          <w:szCs w:val="20"/>
        </w:rPr>
        <w:tab/>
        <w:t xml:space="preserve">Η ποιότητα και αποτελεσματικότητα του διδακτικού έργου, όπως τεκμηριώνεται ιδίως από την αξιολόγηση από τους φοιτητές </w:t>
      </w:r>
    </w:p>
    <w:p w:rsidR="008E1DF4" w:rsidRPr="00554EC7" w:rsidRDefault="008E1DF4" w:rsidP="008E1DF4">
      <w:pPr>
        <w:numPr>
          <w:ilvl w:val="1"/>
          <w:numId w:val="4"/>
        </w:numPr>
        <w:tabs>
          <w:tab w:val="left" w:pos="1298"/>
          <w:tab w:val="left" w:pos="1701"/>
          <w:tab w:val="left" w:pos="1985"/>
        </w:tabs>
        <w:spacing w:after="0" w:line="264" w:lineRule="auto"/>
        <w:ind w:left="714" w:hanging="357"/>
        <w:jc w:val="both"/>
        <w:rPr>
          <w:i/>
          <w:sz w:val="20"/>
          <w:szCs w:val="20"/>
        </w:rPr>
      </w:pPr>
      <w:r w:rsidRPr="00554EC7">
        <w:rPr>
          <w:i/>
          <w:sz w:val="20"/>
          <w:szCs w:val="20"/>
        </w:rPr>
        <w:t>Η οργάνωση της εκπαιδευτικής διαδικασίας εξασφαλίζει την ποιοτική υλοποίηση των στόχων του προγράμματος σπουδών και την επίτευξη των μαθησιακών αποτελεσμάτων, ενδεικτικά:</w:t>
      </w:r>
    </w:p>
    <w:p w:rsidR="008E1DF4" w:rsidRPr="00554EC7" w:rsidRDefault="008E1DF4" w:rsidP="008E1DF4">
      <w:pPr>
        <w:numPr>
          <w:ilvl w:val="2"/>
          <w:numId w:val="4"/>
        </w:numPr>
        <w:tabs>
          <w:tab w:val="left" w:pos="1298"/>
          <w:tab w:val="left" w:pos="1701"/>
          <w:tab w:val="left" w:pos="1985"/>
        </w:tabs>
        <w:spacing w:after="0" w:line="264" w:lineRule="auto"/>
        <w:ind w:left="1225" w:hanging="505"/>
        <w:jc w:val="both"/>
        <w:rPr>
          <w:i/>
          <w:sz w:val="20"/>
          <w:szCs w:val="20"/>
        </w:rPr>
      </w:pPr>
      <w:r w:rsidRPr="00554EC7">
        <w:rPr>
          <w:i/>
          <w:sz w:val="20"/>
          <w:szCs w:val="20"/>
        </w:rPr>
        <w:t>Ύπαρξη ακαδημαϊκού ημερολογίου, έγκαιρη δημοσιοποίηση και απαρέγκλιτη τήρηση.</w:t>
      </w:r>
    </w:p>
    <w:p w:rsidR="008E1DF4" w:rsidRPr="00554EC7" w:rsidRDefault="008E1DF4" w:rsidP="008E1DF4">
      <w:pPr>
        <w:numPr>
          <w:ilvl w:val="2"/>
          <w:numId w:val="4"/>
        </w:numPr>
        <w:tabs>
          <w:tab w:val="left" w:pos="1298"/>
          <w:tab w:val="left" w:pos="1701"/>
          <w:tab w:val="left" w:pos="1985"/>
        </w:tabs>
        <w:spacing w:after="0" w:line="264" w:lineRule="auto"/>
        <w:ind w:left="1225" w:hanging="505"/>
        <w:jc w:val="both"/>
        <w:rPr>
          <w:i/>
          <w:sz w:val="20"/>
          <w:szCs w:val="20"/>
        </w:rPr>
      </w:pPr>
      <w:r w:rsidRPr="00554EC7">
        <w:rPr>
          <w:i/>
          <w:sz w:val="20"/>
          <w:szCs w:val="20"/>
        </w:rPr>
        <w:t>Γνωστοποίηση αναλυτικών περιγραμμάτων σπουδών στους φοιτητές και εφαρμογή τους από τους διδάσκοντες.</w:t>
      </w:r>
    </w:p>
    <w:p w:rsidR="008E1DF4" w:rsidRPr="00554EC7" w:rsidRDefault="008E1DF4" w:rsidP="008E1DF4">
      <w:pPr>
        <w:numPr>
          <w:ilvl w:val="2"/>
          <w:numId w:val="4"/>
        </w:numPr>
        <w:tabs>
          <w:tab w:val="left" w:pos="1298"/>
          <w:tab w:val="left" w:pos="1701"/>
          <w:tab w:val="left" w:pos="1985"/>
        </w:tabs>
        <w:spacing w:after="0" w:line="264" w:lineRule="auto"/>
        <w:ind w:left="1225" w:hanging="505"/>
        <w:jc w:val="both"/>
        <w:rPr>
          <w:i/>
          <w:sz w:val="20"/>
          <w:szCs w:val="20"/>
        </w:rPr>
      </w:pPr>
      <w:r w:rsidRPr="00554EC7">
        <w:rPr>
          <w:i/>
          <w:sz w:val="20"/>
          <w:szCs w:val="20"/>
        </w:rPr>
        <w:t>Επικαιροποιημένες ιστοσελίδες των μαθημάτων με συμπληρωματικό εκπαιδευτικό υλικό.</w:t>
      </w:r>
    </w:p>
    <w:p w:rsidR="008E1DF4" w:rsidRPr="00554EC7" w:rsidRDefault="008E1DF4" w:rsidP="008E1DF4">
      <w:pPr>
        <w:numPr>
          <w:ilvl w:val="2"/>
          <w:numId w:val="4"/>
        </w:numPr>
        <w:tabs>
          <w:tab w:val="left" w:pos="1298"/>
          <w:tab w:val="left" w:pos="1701"/>
          <w:tab w:val="left" w:pos="1985"/>
        </w:tabs>
        <w:spacing w:after="0" w:line="264" w:lineRule="auto"/>
        <w:ind w:left="1225" w:hanging="505"/>
        <w:jc w:val="both"/>
        <w:rPr>
          <w:i/>
          <w:sz w:val="20"/>
          <w:szCs w:val="20"/>
        </w:rPr>
      </w:pPr>
      <w:r w:rsidRPr="00554EC7">
        <w:rPr>
          <w:i/>
          <w:sz w:val="20"/>
          <w:szCs w:val="20"/>
        </w:rPr>
        <w:t>Διαδικασίες εκπόνησης πτυχιακών εργασιών / πρακτικής άσκησης.</w:t>
      </w:r>
    </w:p>
    <w:p w:rsidR="008E1DF4" w:rsidRPr="00554EC7" w:rsidRDefault="008E1DF4" w:rsidP="008E1DF4">
      <w:pPr>
        <w:numPr>
          <w:ilvl w:val="2"/>
          <w:numId w:val="4"/>
        </w:numPr>
        <w:tabs>
          <w:tab w:val="left" w:pos="1298"/>
          <w:tab w:val="left" w:pos="1701"/>
          <w:tab w:val="left" w:pos="1985"/>
        </w:tabs>
        <w:spacing w:after="0" w:line="264" w:lineRule="auto"/>
        <w:ind w:left="1225" w:hanging="505"/>
        <w:jc w:val="both"/>
        <w:rPr>
          <w:i/>
          <w:sz w:val="20"/>
          <w:szCs w:val="20"/>
        </w:rPr>
      </w:pPr>
      <w:r w:rsidRPr="00554EC7">
        <w:rPr>
          <w:i/>
          <w:sz w:val="20"/>
          <w:szCs w:val="20"/>
        </w:rPr>
        <w:t>Διαδικασίες διεξαγωγής εξετάσεων και αξιολόγησης φοιτητών.</w:t>
      </w:r>
    </w:p>
    <w:p w:rsidR="008E1DF4" w:rsidRPr="00554EC7" w:rsidRDefault="008E1DF4" w:rsidP="008E1DF4">
      <w:pPr>
        <w:numPr>
          <w:ilvl w:val="2"/>
          <w:numId w:val="4"/>
        </w:numPr>
        <w:tabs>
          <w:tab w:val="left" w:pos="1298"/>
          <w:tab w:val="left" w:pos="1701"/>
          <w:tab w:val="left" w:pos="1985"/>
        </w:tabs>
        <w:spacing w:after="60" w:line="264" w:lineRule="auto"/>
        <w:ind w:hanging="505"/>
        <w:jc w:val="both"/>
        <w:rPr>
          <w:i/>
          <w:sz w:val="20"/>
          <w:szCs w:val="20"/>
        </w:rPr>
      </w:pPr>
      <w:r w:rsidRPr="00554EC7">
        <w:rPr>
          <w:i/>
          <w:sz w:val="20"/>
          <w:szCs w:val="20"/>
        </w:rPr>
        <w:t>Αποτελεσματική ενημέρωση των φοιτητών και διευκόλυνση της συμμετοχής τους στη βελτίωση της εκπαιδευτικής διαδικασίας κ.λπ.</w:t>
      </w:r>
    </w:p>
    <w:p w:rsidR="008E1DF4" w:rsidRPr="00554EC7" w:rsidRDefault="008E1DF4" w:rsidP="008E1DF4">
      <w:pPr>
        <w:numPr>
          <w:ilvl w:val="1"/>
          <w:numId w:val="4"/>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 xml:space="preserve">Υπάρχουν </w:t>
      </w:r>
      <w:r w:rsidRPr="00554EC7">
        <w:rPr>
          <w:i/>
          <w:sz w:val="20"/>
          <w:szCs w:val="20"/>
        </w:rPr>
        <w:t>αξιόπιστες</w:t>
      </w:r>
      <w:r w:rsidRPr="00554EC7">
        <w:rPr>
          <w:i/>
          <w:color w:val="0070C0"/>
          <w:sz w:val="20"/>
          <w:szCs w:val="20"/>
        </w:rPr>
        <w:t xml:space="preserve"> </w:t>
      </w:r>
      <w:r w:rsidRPr="00554EC7">
        <w:rPr>
          <w:i/>
          <w:color w:val="000000"/>
          <w:sz w:val="20"/>
          <w:szCs w:val="20"/>
        </w:rPr>
        <w:t>διαδικασίες διασφάλισης ποιότητας στο εκπαιδευτικό έργο.</w:t>
      </w:r>
    </w:p>
    <w:p w:rsidR="008E1DF4" w:rsidRPr="00554EC7" w:rsidRDefault="008E1DF4" w:rsidP="008E1DF4">
      <w:pPr>
        <w:numPr>
          <w:ilvl w:val="1"/>
          <w:numId w:val="4"/>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Οι ευθύνες για τη λήψη αποφάσεων και την παρακολούθηση της υλοποίησης του προγράμματος κατανέμονται με σαφή τρόπο.</w:t>
      </w:r>
    </w:p>
    <w:p w:rsidR="008E1DF4" w:rsidRPr="00554EC7" w:rsidRDefault="008E1DF4" w:rsidP="008E1DF4">
      <w:pPr>
        <w:numPr>
          <w:ilvl w:val="1"/>
          <w:numId w:val="4"/>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Το σύστημα και τα κριτήρια αξιολόγησης των επιδόσεων των φοιτητών στα μαθήματα είναι σαφές, επαρκές και σε γνώση των φοιτητών.</w:t>
      </w:r>
    </w:p>
    <w:p w:rsidR="008E1DF4" w:rsidRPr="00554EC7" w:rsidRDefault="008E1DF4" w:rsidP="008E1DF4">
      <w:pPr>
        <w:numPr>
          <w:ilvl w:val="1"/>
          <w:numId w:val="4"/>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Ο τρόπος αξιολόγησης των φοιτητών στα μαθήματα συνδέεται με τα μαθησιακά αποτελέσματα κάθε μαθήματος.</w:t>
      </w:r>
    </w:p>
    <w:p w:rsidR="008E1DF4" w:rsidRPr="00554EC7" w:rsidRDefault="008E1DF4" w:rsidP="008E1DF4">
      <w:pPr>
        <w:pStyle w:val="a3"/>
        <w:numPr>
          <w:ilvl w:val="1"/>
          <w:numId w:val="4"/>
        </w:numPr>
        <w:spacing w:after="60"/>
        <w:jc w:val="both"/>
        <w:rPr>
          <w:i/>
          <w:sz w:val="20"/>
          <w:szCs w:val="20"/>
        </w:rPr>
      </w:pPr>
      <w:r w:rsidRPr="00554EC7">
        <w:rPr>
          <w:i/>
          <w:sz w:val="20"/>
          <w:szCs w:val="20"/>
        </w:rPr>
        <w:t>Ποιο είναι το ποσοστό των φοιτητών που συμμετέχει ενεργά στην εκπαιδευτική διαδικασία, ανά έτος, Υπάρχει διαδικασία παρακολούθησης της προόδου των φοιτητών.</w:t>
      </w:r>
    </w:p>
    <w:p w:rsidR="008E1DF4" w:rsidRPr="00554EC7" w:rsidRDefault="008E1DF4" w:rsidP="008E1DF4">
      <w:pPr>
        <w:numPr>
          <w:ilvl w:val="1"/>
          <w:numId w:val="4"/>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Εκροές: Ποσοστό των φοιτητών που συμμετέχουν στις εξετάσεις. Ποσοστά επιτυχίας των φοιτητών στις εξετάσεις. Μέσος βαθμός πτυχίου, κατανομή βαθμολογίας.  και μέση διάρκεια σπουδών για τη λήψη πτυχίου.</w:t>
      </w:r>
    </w:p>
    <w:p w:rsidR="008E1DF4" w:rsidRPr="00554EC7" w:rsidRDefault="008E1DF4" w:rsidP="008E1DF4">
      <w:pPr>
        <w:numPr>
          <w:ilvl w:val="1"/>
          <w:numId w:val="4"/>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 xml:space="preserve">Αξιολογήσεις φοιτητών για τα μαθήματα του Προγράμματος Σπουδών (διαδικασία ανάδρασης και αποτελέσματα). </w:t>
      </w:r>
    </w:p>
    <w:p w:rsidR="008E1DF4" w:rsidRPr="00554EC7" w:rsidRDefault="008E1DF4" w:rsidP="008E1DF4">
      <w:pPr>
        <w:numPr>
          <w:ilvl w:val="1"/>
          <w:numId w:val="4"/>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Με ποιο τρόπο, τα αποτελέσματα από την αξιολόγηση των φοιτητών, της εσωτερικής και εξωτερικής αξιολόγησης έχουν χρησιμοποιηθεί για τη βελτίωση του Προγράμματος Σπουδών.</w:t>
      </w:r>
    </w:p>
    <w:p w:rsidR="008E1DF4" w:rsidRPr="00554EC7" w:rsidRDefault="008E1DF4" w:rsidP="008E1DF4">
      <w:pPr>
        <w:tabs>
          <w:tab w:val="left" w:pos="1298"/>
          <w:tab w:val="left" w:pos="1701"/>
          <w:tab w:val="left" w:pos="1985"/>
        </w:tabs>
        <w:spacing w:before="240" w:after="60" w:line="264" w:lineRule="auto"/>
        <w:ind w:left="-142" w:hanging="425"/>
        <w:jc w:val="both"/>
        <w:rPr>
          <w:rFonts w:cs="Arial"/>
          <w:b/>
          <w:color w:val="333333"/>
          <w:sz w:val="20"/>
          <w:szCs w:val="20"/>
        </w:rPr>
      </w:pPr>
      <w:r w:rsidRPr="00554EC7">
        <w:rPr>
          <w:rFonts w:cs="Arial"/>
          <w:b/>
          <w:sz w:val="20"/>
          <w:szCs w:val="20"/>
        </w:rPr>
        <w:t>ε)</w:t>
      </w:r>
      <w:r w:rsidRPr="00554EC7">
        <w:rPr>
          <w:rFonts w:cs="Arial"/>
          <w:b/>
          <w:color w:val="333333"/>
          <w:sz w:val="20"/>
          <w:szCs w:val="20"/>
        </w:rPr>
        <w:t xml:space="preserve"> </w:t>
      </w:r>
      <w:r w:rsidRPr="00554EC7">
        <w:rPr>
          <w:rFonts w:cs="Arial"/>
          <w:b/>
          <w:color w:val="333333"/>
          <w:sz w:val="20"/>
          <w:szCs w:val="20"/>
        </w:rPr>
        <w:tab/>
        <w:t>Η</w:t>
      </w:r>
      <w:r w:rsidRPr="00554EC7">
        <w:rPr>
          <w:rFonts w:cs="Arial"/>
          <w:b/>
          <w:sz w:val="20"/>
          <w:szCs w:val="20"/>
        </w:rPr>
        <w:t xml:space="preserve"> καταλληλότητα των προσόντων του διδακτικού προσωπικού,</w:t>
      </w:r>
    </w:p>
    <w:p w:rsidR="008E1DF4" w:rsidRPr="00554EC7" w:rsidRDefault="008E1DF4" w:rsidP="008E1DF4">
      <w:pPr>
        <w:numPr>
          <w:ilvl w:val="1"/>
          <w:numId w:val="5"/>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Ο αριθμός και οι εξειδικεύσεις του διδακτικού προσωπικού είναι επαρκή για την διδασκαλία των μαθημάτων του Προγράμματος Σπουδών.</w:t>
      </w:r>
    </w:p>
    <w:p w:rsidR="008E1DF4" w:rsidRPr="00554EC7" w:rsidRDefault="008E1DF4" w:rsidP="008E1DF4">
      <w:pPr>
        <w:numPr>
          <w:ilvl w:val="1"/>
          <w:numId w:val="5"/>
        </w:numPr>
        <w:tabs>
          <w:tab w:val="left" w:pos="1298"/>
          <w:tab w:val="left" w:pos="1701"/>
          <w:tab w:val="left" w:pos="1985"/>
        </w:tabs>
        <w:spacing w:after="60" w:line="264" w:lineRule="auto"/>
        <w:jc w:val="both"/>
        <w:rPr>
          <w:i/>
          <w:color w:val="000000"/>
          <w:sz w:val="20"/>
          <w:szCs w:val="20"/>
        </w:rPr>
      </w:pPr>
      <w:r w:rsidRPr="00554EC7">
        <w:rPr>
          <w:i/>
          <w:color w:val="000000"/>
          <w:sz w:val="20"/>
          <w:szCs w:val="20"/>
        </w:rPr>
        <w:lastRenderedPageBreak/>
        <w:t>Η επιστημονική κατάρτιση του διδακτικού προσωπικού είναι επαρκής για την διασφάλιση επίτευξης των μαθησιακών αποτελεσμάτων του Προγράμματος .</w:t>
      </w:r>
    </w:p>
    <w:p w:rsidR="008E1DF4" w:rsidRPr="00554EC7" w:rsidRDefault="008E1DF4" w:rsidP="008E1DF4">
      <w:pPr>
        <w:numPr>
          <w:ilvl w:val="1"/>
          <w:numId w:val="5"/>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Οι μελλοντικές αποχωρήσεις / συνταξιοδοτήσεις, αναμενόμενες προσλήψεις και εξελίξεις του ακαδημαϊκού προσωπικού εξασφαλίζουν την ομαλή υλοποίηση του προγράμματος σπουδών σε ορίζοντα πενταετίας.</w:t>
      </w:r>
    </w:p>
    <w:p w:rsidR="008E1DF4" w:rsidRPr="00554EC7" w:rsidRDefault="008E1DF4" w:rsidP="008E1DF4">
      <w:pPr>
        <w:numPr>
          <w:ilvl w:val="1"/>
          <w:numId w:val="5"/>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Υπάρχουν οι προϋποθέσεις για την επιστημονική ανάπτυξη του εκπαιδευτικού προσωπικού σε σχέση με τις απαιτήσεις για την περαιτέρω ανάπτυξη του προγράμματος σπουδών.</w:t>
      </w:r>
    </w:p>
    <w:p w:rsidR="008E1DF4" w:rsidRPr="00554EC7" w:rsidRDefault="008E1DF4" w:rsidP="008E1DF4">
      <w:pPr>
        <w:numPr>
          <w:ilvl w:val="1"/>
          <w:numId w:val="5"/>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 xml:space="preserve"> Το διδακτικό προσωπικό του προγράμματος συμμετέχει σε ερευνητικές δραστηριότητες που σχετίζονται άμεσα με το πρόγραμμα σπουδών.</w:t>
      </w:r>
    </w:p>
    <w:p w:rsidR="008E1DF4" w:rsidRPr="00554EC7" w:rsidRDefault="008E1DF4" w:rsidP="008E1DF4">
      <w:pPr>
        <w:tabs>
          <w:tab w:val="left" w:pos="1298"/>
          <w:tab w:val="left" w:pos="1701"/>
          <w:tab w:val="left" w:pos="1985"/>
        </w:tabs>
        <w:spacing w:before="240" w:after="60" w:line="264" w:lineRule="auto"/>
        <w:ind w:left="-142" w:hanging="425"/>
        <w:jc w:val="both"/>
        <w:rPr>
          <w:rFonts w:cs="Arial"/>
          <w:b/>
          <w:color w:val="333333"/>
          <w:sz w:val="20"/>
          <w:szCs w:val="20"/>
        </w:rPr>
      </w:pPr>
      <w:r w:rsidRPr="00554EC7">
        <w:rPr>
          <w:rFonts w:cs="Arial"/>
          <w:b/>
          <w:color w:val="333333"/>
          <w:sz w:val="20"/>
          <w:szCs w:val="20"/>
        </w:rPr>
        <w:t>στ) Η ποιότητα του ερευνητικού έργου της ακαδημαϊκής μονάδας,</w:t>
      </w:r>
    </w:p>
    <w:p w:rsidR="008E1DF4" w:rsidRPr="00554EC7" w:rsidRDefault="008E1DF4" w:rsidP="008E1DF4">
      <w:pPr>
        <w:numPr>
          <w:ilvl w:val="1"/>
          <w:numId w:val="6"/>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Υπάρχει σαφής προσανατολισμός των ερευνητικών δραστηριοτήτων της ακαδημαϊκής μονάδας σε συγκεκριμένα πεδία ερευνητικού ενδιαφέροντος.</w:t>
      </w:r>
    </w:p>
    <w:p w:rsidR="008E1DF4" w:rsidRPr="00554EC7" w:rsidRDefault="008E1DF4" w:rsidP="008E1DF4">
      <w:pPr>
        <w:numPr>
          <w:ilvl w:val="1"/>
          <w:numId w:val="6"/>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Αποτελέσματα ερευνητικής δραστηριότητας τελευταίας πενταετίας (λαμβάνοντας υπόψη και δείκτες όπως π.χ. τους βιβλιομετρικούς του ΕΚΤ).</w:t>
      </w:r>
    </w:p>
    <w:p w:rsidR="008E1DF4" w:rsidRPr="00554EC7" w:rsidRDefault="008E1DF4" w:rsidP="008E1DF4">
      <w:pPr>
        <w:numPr>
          <w:ilvl w:val="1"/>
          <w:numId w:val="6"/>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Ποσοστό μελών ΔΕΠ/ΕΠ που έχουν ενεργό ερευνητική δραστηριότητα.</w:t>
      </w:r>
    </w:p>
    <w:p w:rsidR="008E1DF4" w:rsidRPr="00554EC7" w:rsidRDefault="008E1DF4" w:rsidP="008E1DF4">
      <w:pPr>
        <w:numPr>
          <w:ilvl w:val="1"/>
          <w:numId w:val="6"/>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Συμμετοχή σε διεθνή δίκτυα με άλλα ΑΕΙ / Ερευνητικούς φορείς.</w:t>
      </w:r>
    </w:p>
    <w:p w:rsidR="008E1DF4" w:rsidRPr="00554EC7" w:rsidRDefault="008E1DF4" w:rsidP="008E1DF4">
      <w:pPr>
        <w:tabs>
          <w:tab w:val="left" w:pos="1298"/>
          <w:tab w:val="left" w:pos="1701"/>
          <w:tab w:val="left" w:pos="1985"/>
        </w:tabs>
        <w:spacing w:before="240" w:after="60" w:line="264" w:lineRule="auto"/>
        <w:ind w:left="-142" w:hanging="425"/>
        <w:jc w:val="both"/>
        <w:rPr>
          <w:rFonts w:cs="Arial"/>
          <w:b/>
          <w:color w:val="333333"/>
          <w:sz w:val="20"/>
          <w:szCs w:val="20"/>
        </w:rPr>
      </w:pPr>
      <w:r w:rsidRPr="00554EC7">
        <w:rPr>
          <w:rFonts w:cs="Arial"/>
          <w:b/>
          <w:color w:val="333333"/>
          <w:sz w:val="20"/>
          <w:szCs w:val="20"/>
        </w:rPr>
        <w:t xml:space="preserve">ζ) Ο βαθμός σύνδεσης της διδασκαλίας με την έρευνα, </w:t>
      </w:r>
    </w:p>
    <w:p w:rsidR="008E1DF4" w:rsidRPr="00554EC7" w:rsidRDefault="008E1DF4" w:rsidP="008E1DF4">
      <w:pPr>
        <w:numPr>
          <w:ilvl w:val="1"/>
          <w:numId w:val="7"/>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Συσχέτιση των ερευνητικών δραστηριοτήτων των μελών ΔΕΠ/ΕΠ με τα βασικά γνωστικά αντικείμενα του Τμήματος.</w:t>
      </w:r>
    </w:p>
    <w:p w:rsidR="008E1DF4" w:rsidRPr="00554EC7" w:rsidRDefault="008E1DF4" w:rsidP="008E1DF4">
      <w:pPr>
        <w:numPr>
          <w:ilvl w:val="1"/>
          <w:numId w:val="7"/>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 xml:space="preserve">Εκπαίδευση των φοιτητών στην ερευνητική διαδικασία (π.χ. αναζήτηση και χρήση βιβλιογραφίας). </w:t>
      </w:r>
    </w:p>
    <w:p w:rsidR="008E1DF4" w:rsidRPr="00554EC7" w:rsidRDefault="008E1DF4" w:rsidP="008E1DF4">
      <w:pPr>
        <w:numPr>
          <w:ilvl w:val="1"/>
          <w:numId w:val="7"/>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Συμμετοχή των  φοιτητών σε ερευνητικά έργα.</w:t>
      </w:r>
    </w:p>
    <w:p w:rsidR="008E1DF4" w:rsidRPr="00554EC7" w:rsidRDefault="008E1DF4" w:rsidP="008E1DF4">
      <w:pPr>
        <w:tabs>
          <w:tab w:val="left" w:pos="1298"/>
          <w:tab w:val="left" w:pos="1701"/>
          <w:tab w:val="left" w:pos="1985"/>
        </w:tabs>
        <w:spacing w:before="240" w:after="60" w:line="264" w:lineRule="auto"/>
        <w:ind w:left="-142" w:hanging="425"/>
        <w:jc w:val="both"/>
        <w:rPr>
          <w:rFonts w:cs="Arial"/>
          <w:b/>
          <w:color w:val="333333"/>
          <w:sz w:val="20"/>
          <w:szCs w:val="20"/>
        </w:rPr>
      </w:pPr>
      <w:r w:rsidRPr="00554EC7">
        <w:rPr>
          <w:rFonts w:cs="Arial"/>
          <w:b/>
          <w:color w:val="333333"/>
          <w:sz w:val="20"/>
          <w:szCs w:val="20"/>
        </w:rPr>
        <w:t>η) Η ζήτηση στην αγορά εργασίας των αποκτώμενων προσόντων</w:t>
      </w:r>
    </w:p>
    <w:p w:rsidR="008E1DF4" w:rsidRPr="00554EC7" w:rsidRDefault="008E1DF4" w:rsidP="008E1DF4">
      <w:pPr>
        <w:pStyle w:val="a3"/>
        <w:numPr>
          <w:ilvl w:val="1"/>
          <w:numId w:val="8"/>
        </w:numPr>
        <w:spacing w:after="60"/>
        <w:ind w:left="714" w:hanging="357"/>
        <w:jc w:val="both"/>
        <w:rPr>
          <w:i/>
          <w:sz w:val="20"/>
          <w:szCs w:val="20"/>
        </w:rPr>
      </w:pPr>
      <w:r w:rsidRPr="00554EC7">
        <w:rPr>
          <w:i/>
          <w:sz w:val="20"/>
          <w:szCs w:val="20"/>
        </w:rPr>
        <w:t>Ποιο είναι το προφίλ των εισαγομένων φοιτητών που ακολουθούν το πρόγραμμα σπουδών (προέλευση, τρόπος εισαγωγής, σειρά προτίμησης, αριθμός υποψηφίων που το δηλώνουν, %υποψηφίων στις πρώτες 3 επιλογές, κ.λπ.).</w:t>
      </w:r>
    </w:p>
    <w:p w:rsidR="008E1DF4" w:rsidRPr="00554EC7" w:rsidRDefault="008E1DF4" w:rsidP="008E1DF4">
      <w:pPr>
        <w:numPr>
          <w:ilvl w:val="1"/>
          <w:numId w:val="8"/>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Επαγγελματική απορρόφηση των αποφοίτων του ΠΣ (περιγραφή θέσεων εργασίας και δείκτες απασχόλησης).</w:t>
      </w:r>
    </w:p>
    <w:p w:rsidR="008E1DF4" w:rsidRPr="00554EC7" w:rsidRDefault="008E1DF4" w:rsidP="008E1DF4">
      <w:pPr>
        <w:numPr>
          <w:ilvl w:val="1"/>
          <w:numId w:val="8"/>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Οι επαγγελματικές δραστηριότητες της πλειοψηφίας των αποφοίτων ανταποκρίνονται στις προσδοκίες του Τμήματος.</w:t>
      </w:r>
    </w:p>
    <w:p w:rsidR="008E1DF4" w:rsidRPr="00554EC7" w:rsidRDefault="008E1DF4" w:rsidP="008E1DF4">
      <w:pPr>
        <w:numPr>
          <w:ilvl w:val="1"/>
          <w:numId w:val="8"/>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Τεκμηρίωση της ζήτησης για συγκεκριμένα επαγγέλματα .</w:t>
      </w:r>
    </w:p>
    <w:p w:rsidR="008E1DF4" w:rsidRPr="00554EC7" w:rsidRDefault="008E1DF4" w:rsidP="008E1DF4">
      <w:pPr>
        <w:tabs>
          <w:tab w:val="left" w:pos="1298"/>
          <w:tab w:val="left" w:pos="1701"/>
          <w:tab w:val="left" w:pos="1985"/>
        </w:tabs>
        <w:spacing w:before="240" w:after="60" w:line="264" w:lineRule="auto"/>
        <w:ind w:left="-142" w:hanging="425"/>
        <w:jc w:val="both"/>
        <w:rPr>
          <w:rFonts w:cs="Arial"/>
          <w:b/>
          <w:color w:val="333333"/>
          <w:sz w:val="20"/>
          <w:szCs w:val="20"/>
        </w:rPr>
      </w:pPr>
      <w:r w:rsidRPr="00554EC7">
        <w:rPr>
          <w:rFonts w:cs="Arial"/>
          <w:b/>
          <w:color w:val="333333"/>
          <w:sz w:val="20"/>
          <w:szCs w:val="20"/>
        </w:rPr>
        <w:t>θ) Η ποιότητα των υποστηρικτικών υπηρεσιών, όπως οι διοικητικές υπηρεσίες, οι βιβλιοθήκες και οι υπηρεσίες φοιτητικής μέριμνας.</w:t>
      </w:r>
    </w:p>
    <w:p w:rsidR="008E1DF4" w:rsidRPr="00554EC7" w:rsidRDefault="008E1DF4" w:rsidP="008E1DF4">
      <w:pPr>
        <w:numPr>
          <w:ilvl w:val="1"/>
          <w:numId w:val="9"/>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Οι εγκαταστάσεις είναι επαρκείς τόσο σε μέγεθος όσο και στην ποιότητά των χώρων.</w:t>
      </w:r>
    </w:p>
    <w:p w:rsidR="008E1DF4" w:rsidRPr="00554EC7" w:rsidRDefault="008E1DF4" w:rsidP="008E1DF4">
      <w:pPr>
        <w:numPr>
          <w:ilvl w:val="1"/>
          <w:numId w:val="9"/>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Ο εξοπλισμός που χρησιμοποιείται στη διδασκαλία και την εκμάθηση (εργαστηριακός και ηλεκτρονικός εξοπλισμός, αναλώσιμα, κ.λπ.) είναι ποσοτικά και ποιοτικά επαρκής.</w:t>
      </w:r>
    </w:p>
    <w:p w:rsidR="008E1DF4" w:rsidRPr="00554EC7" w:rsidRDefault="008E1DF4" w:rsidP="008E1DF4">
      <w:pPr>
        <w:numPr>
          <w:ilvl w:val="1"/>
          <w:numId w:val="9"/>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Υπάρχει το κατάλληλο περιβάλλον που ενθαρρύνει και διευκολύνει την πρακτική εξάσκηση των φοιτητών.</w:t>
      </w:r>
    </w:p>
    <w:p w:rsidR="008E1DF4" w:rsidRPr="00554EC7" w:rsidRDefault="008E1DF4" w:rsidP="008E1DF4">
      <w:pPr>
        <w:numPr>
          <w:ilvl w:val="1"/>
          <w:numId w:val="9"/>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Το διδακτικό υλικό (βιβλία, εγχειρίδια, επιστημονικά περιοδικά, βάσεις δεδομένων) είναι επαρκές και εύκολα προσβάσιμο από τους φοιτητές.</w:t>
      </w:r>
    </w:p>
    <w:p w:rsidR="008E1DF4" w:rsidRPr="00554EC7" w:rsidRDefault="008E1DF4" w:rsidP="008E1DF4">
      <w:pPr>
        <w:numPr>
          <w:ilvl w:val="1"/>
          <w:numId w:val="9"/>
        </w:numPr>
        <w:tabs>
          <w:tab w:val="left" w:pos="1298"/>
          <w:tab w:val="left" w:pos="1701"/>
          <w:tab w:val="left" w:pos="1985"/>
        </w:tabs>
        <w:spacing w:after="60" w:line="264" w:lineRule="auto"/>
        <w:jc w:val="both"/>
        <w:rPr>
          <w:i/>
          <w:color w:val="000000"/>
          <w:sz w:val="20"/>
          <w:szCs w:val="20"/>
        </w:rPr>
      </w:pPr>
      <w:r w:rsidRPr="00554EC7">
        <w:rPr>
          <w:i/>
          <w:color w:val="000000"/>
          <w:sz w:val="20"/>
          <w:szCs w:val="20"/>
        </w:rPr>
        <w:t>Το διδακτικό προσωπικό αξιοποιεί τα ηλεκτρονικά μέσα για την υποστήριξη της μαθησιακής διαδικασίας.</w:t>
      </w:r>
    </w:p>
    <w:p w:rsidR="008E1DF4" w:rsidRPr="00554EC7" w:rsidRDefault="008E1DF4" w:rsidP="008E1DF4">
      <w:pPr>
        <w:numPr>
          <w:ilvl w:val="1"/>
          <w:numId w:val="9"/>
        </w:numPr>
        <w:tabs>
          <w:tab w:val="left" w:pos="1298"/>
          <w:tab w:val="left" w:pos="1701"/>
          <w:tab w:val="left" w:pos="1985"/>
        </w:tabs>
        <w:spacing w:after="60" w:line="264" w:lineRule="auto"/>
        <w:jc w:val="both"/>
        <w:rPr>
          <w:i/>
          <w:color w:val="000000"/>
          <w:sz w:val="20"/>
          <w:szCs w:val="20"/>
        </w:rPr>
      </w:pPr>
      <w:r w:rsidRPr="00554EC7">
        <w:rPr>
          <w:i/>
          <w:color w:val="000000"/>
          <w:sz w:val="20"/>
          <w:szCs w:val="20"/>
        </w:rPr>
        <w:lastRenderedPageBreak/>
        <w:t>Το ίδρυμα εξασφαλίζει ικανοποιητικό επίπεδο ακαδημαϊκής και κοινωνικής υποστήριξης των φοιτητών.</w:t>
      </w:r>
    </w:p>
    <w:p w:rsidR="008E1DF4" w:rsidRPr="00554EC7" w:rsidRDefault="008E1DF4" w:rsidP="008E1DF4">
      <w:pPr>
        <w:numPr>
          <w:ilvl w:val="1"/>
          <w:numId w:val="9"/>
        </w:numPr>
        <w:tabs>
          <w:tab w:val="left" w:pos="1298"/>
          <w:tab w:val="left" w:pos="1701"/>
          <w:tab w:val="left" w:pos="1985"/>
        </w:tabs>
        <w:spacing w:after="60" w:line="264" w:lineRule="auto"/>
        <w:jc w:val="both"/>
        <w:rPr>
          <w:i/>
          <w:sz w:val="20"/>
          <w:szCs w:val="20"/>
        </w:rPr>
      </w:pPr>
      <w:r w:rsidRPr="00554EC7">
        <w:rPr>
          <w:i/>
          <w:sz w:val="20"/>
          <w:szCs w:val="20"/>
        </w:rPr>
        <w:t>Λειτουργεί ο θεσμός του συνηγόρου του φοιτητή, αν όχι πώς αντιμετωπίζονται θέματα της αρμοδιότητάς του.</w:t>
      </w:r>
    </w:p>
    <w:p w:rsidR="008E1DF4" w:rsidRPr="00554EC7" w:rsidRDefault="008E1DF4" w:rsidP="008E1DF4">
      <w:pPr>
        <w:tabs>
          <w:tab w:val="left" w:pos="1298"/>
          <w:tab w:val="left" w:pos="1701"/>
          <w:tab w:val="left" w:pos="1985"/>
        </w:tabs>
        <w:spacing w:before="240" w:after="60" w:line="264" w:lineRule="auto"/>
        <w:ind w:left="-142" w:hanging="425"/>
        <w:jc w:val="both"/>
        <w:rPr>
          <w:rFonts w:cs="Arial"/>
          <w:b/>
          <w:sz w:val="20"/>
          <w:szCs w:val="20"/>
        </w:rPr>
      </w:pPr>
      <w:r w:rsidRPr="00554EC7">
        <w:rPr>
          <w:rFonts w:cs="Arial"/>
          <w:b/>
          <w:sz w:val="20"/>
          <w:szCs w:val="20"/>
        </w:rPr>
        <w:t>ι) Στρατηγική Ακαδημαϊκής Ανάπτυξης</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Διαδικασία διαμόρφωσης και παρακολούθησης συγκεκριμένου βραχυμεσοπρόθεσμου (λ.χ. 5ετούς) σχεδίου ανάπτυξης του Τμήματος. Πώς εντάσσεται το συγκεκριμένο πρόγραμμα σπουδών στο σχέδιο ανάπτυξης.</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Δημοσιοποίηση του σχεδίου ανάπτυξης και των αποτελεσμάτων του.</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Συμμετοχή της ακαδημαϊκής κοινότητας στη διαμόρφωση και παρακολούθηση της υλοποίησης, και στη δημοσιοποίηση των αποτελεσμάτων των αναπτυξιακών του στρατηγικών.</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 xml:space="preserve">Συμμετοχή άλλων ενδιαφερομένων μερών (φοιτητών, αποφοίτων, επαγγελματικών και επιστημονικών οργανώσεων). </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Ύπαρξη μηχανισμού συγκέντρωσης και ανάλυσης στοιχείων και δεικτών που είναι απαιτούμενα για τον αποτελεσματικό σχεδιασμό της ακαδημαϊκής ανάπτυξής του.</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Τι προσπάθειες κάνει το Τμήμα προκειμένου να προσελκύσει μέλη ακαδημαϊκού προσωπικού υψηλού επιπέδου.</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 xml:space="preserve"> Πώς συνδέεται ο προγραμματισμός προσλήψεων και εξελίξεων μελών του ακαδημαϊκού προσωπικού με το σχέδιο ακαδημαϊκής ανάπτυξης του Τμήματος.</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 xml:space="preserve"> Πόσους φοιτητές ζητάει τεκμηριωμένα το Τμήμα ανά έτος για το συγκεκριμένο πρόγραμμα σπουδών. Πόσοι φοιτητές τελικά σπουδάζουν ανά έτος.</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Τι προσπάθειες κάνει το Τμήμα προκειμένου να προσελκύσει φοιτητές υψηλού επιπέδου.</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Τι προσπάθειες κάνει το Τμήμα προκειμένου να προσελκύσει φοιτητές από το εξωτερικό.</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Με ποιο τρόπο το τμήμα εξασφαλίζει συμπληρωματικούς πόρους για τη λειτουργία και συνεχή βελτίωση της ποιότητας του συγκεκριμένου προγράμματος σπουδών.</w:t>
      </w:r>
    </w:p>
    <w:p w:rsidR="008E1DF4" w:rsidRPr="00554EC7" w:rsidRDefault="008E1DF4" w:rsidP="008E1DF4">
      <w:pPr>
        <w:numPr>
          <w:ilvl w:val="1"/>
          <w:numId w:val="10"/>
        </w:numPr>
        <w:tabs>
          <w:tab w:val="left" w:pos="1298"/>
          <w:tab w:val="left" w:pos="1701"/>
          <w:tab w:val="left" w:pos="1985"/>
        </w:tabs>
        <w:spacing w:after="60" w:line="264" w:lineRule="auto"/>
        <w:jc w:val="both"/>
        <w:rPr>
          <w:i/>
          <w:sz w:val="20"/>
          <w:szCs w:val="20"/>
        </w:rPr>
      </w:pPr>
      <w:r w:rsidRPr="00554EC7">
        <w:rPr>
          <w:i/>
          <w:sz w:val="20"/>
          <w:szCs w:val="20"/>
        </w:rPr>
        <w:t>Βιωσιμότητα του προγράμματος σπουδών όπως προκύπτει από τις τάσεις στη ζήτηση του από υποψηφίους, την μελλοντική επάρκεια σε επιστημονικό προσωπικό και άλλους ενδογενείς ή εξωγενείς παράγοντες.</w:t>
      </w:r>
    </w:p>
    <w:p w:rsidR="00F53D91" w:rsidRDefault="00F53D91"/>
    <w:sectPr w:rsidR="00F53D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05"/>
    <w:multiLevelType w:val="multilevel"/>
    <w:tmpl w:val="2C589E78"/>
    <w:lvl w:ilvl="0">
      <w:start w:val="1"/>
      <w:numFmt w:val="decimal"/>
      <w:lvlText w:val="%1."/>
      <w:lvlJc w:val="left"/>
      <w:pPr>
        <w:tabs>
          <w:tab w:val="num" w:pos="360"/>
        </w:tabs>
        <w:ind w:left="360" w:hanging="360"/>
      </w:pPr>
      <w:rPr>
        <w:rFonts w:cs="Times New Roman"/>
      </w:rPr>
    </w:lvl>
    <w:lvl w:ilvl="1">
      <w:start w:val="1"/>
      <w:numFmt w:val="decimal"/>
      <w:lvlText w:val="η.%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00545E0"/>
    <w:multiLevelType w:val="multilevel"/>
    <w:tmpl w:val="36666A72"/>
    <w:lvl w:ilvl="0">
      <w:start w:val="1"/>
      <w:numFmt w:val="decimal"/>
      <w:lvlText w:val="%1."/>
      <w:lvlJc w:val="left"/>
      <w:pPr>
        <w:tabs>
          <w:tab w:val="num" w:pos="360"/>
        </w:tabs>
        <w:ind w:left="360" w:hanging="360"/>
      </w:pPr>
      <w:rPr>
        <w:rFonts w:cs="Times New Roman"/>
      </w:rPr>
    </w:lvl>
    <w:lvl w:ilvl="1">
      <w:start w:val="1"/>
      <w:numFmt w:val="decimal"/>
      <w:lvlText w:val="β.%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0AE2112"/>
    <w:multiLevelType w:val="multilevel"/>
    <w:tmpl w:val="F3103BA4"/>
    <w:lvl w:ilvl="0">
      <w:start w:val="1"/>
      <w:numFmt w:val="decimal"/>
      <w:lvlText w:val="%1."/>
      <w:lvlJc w:val="left"/>
      <w:pPr>
        <w:tabs>
          <w:tab w:val="num" w:pos="360"/>
        </w:tabs>
        <w:ind w:left="360" w:hanging="360"/>
      </w:pPr>
      <w:rPr>
        <w:rFonts w:cs="Times New Roman"/>
      </w:rPr>
    </w:lvl>
    <w:lvl w:ilvl="1">
      <w:start w:val="1"/>
      <w:numFmt w:val="decimal"/>
      <w:lvlText w:val="θ.%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4355B6F"/>
    <w:multiLevelType w:val="multilevel"/>
    <w:tmpl w:val="4B2E9356"/>
    <w:lvl w:ilvl="0">
      <w:start w:val="1"/>
      <w:numFmt w:val="decimal"/>
      <w:lvlText w:val="%1."/>
      <w:lvlJc w:val="left"/>
      <w:pPr>
        <w:tabs>
          <w:tab w:val="num" w:pos="360"/>
        </w:tabs>
        <w:ind w:left="360" w:hanging="360"/>
      </w:pPr>
      <w:rPr>
        <w:rFonts w:cs="Times New Roman"/>
      </w:rPr>
    </w:lvl>
    <w:lvl w:ilvl="1">
      <w:start w:val="1"/>
      <w:numFmt w:val="decimal"/>
      <w:lvlText w:val="στ.%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49C014B7"/>
    <w:multiLevelType w:val="multilevel"/>
    <w:tmpl w:val="BBFC3B62"/>
    <w:lvl w:ilvl="0">
      <w:start w:val="1"/>
      <w:numFmt w:val="decimal"/>
      <w:lvlText w:val="%1."/>
      <w:lvlJc w:val="left"/>
      <w:pPr>
        <w:tabs>
          <w:tab w:val="num" w:pos="360"/>
        </w:tabs>
        <w:ind w:left="360" w:hanging="360"/>
      </w:pPr>
      <w:rPr>
        <w:rFonts w:cs="Times New Roman"/>
      </w:rPr>
    </w:lvl>
    <w:lvl w:ilvl="1">
      <w:start w:val="1"/>
      <w:numFmt w:val="decimal"/>
      <w:lvlText w:val="γ.%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4B7F061A"/>
    <w:multiLevelType w:val="multilevel"/>
    <w:tmpl w:val="6E3C79B8"/>
    <w:lvl w:ilvl="0">
      <w:start w:val="1"/>
      <w:numFmt w:val="decimal"/>
      <w:lvlText w:val="%1."/>
      <w:lvlJc w:val="left"/>
      <w:pPr>
        <w:tabs>
          <w:tab w:val="num" w:pos="360"/>
        </w:tabs>
        <w:ind w:left="360" w:hanging="360"/>
      </w:pPr>
      <w:rPr>
        <w:rFonts w:cs="Times New Roman"/>
      </w:rPr>
    </w:lvl>
    <w:lvl w:ilvl="1">
      <w:start w:val="1"/>
      <w:numFmt w:val="decimal"/>
      <w:lvlText w:val="δ.%2."/>
      <w:lvlJc w:val="right"/>
      <w:pPr>
        <w:tabs>
          <w:tab w:val="num" w:pos="720"/>
        </w:tabs>
        <w:ind w:left="720" w:hanging="360"/>
      </w:pPr>
      <w:rPr>
        <w:rFonts w:cs="Times New Roman" w:hint="default"/>
      </w:rPr>
    </w:lvl>
    <w:lvl w:ilvl="2">
      <w:start w:val="1"/>
      <w:numFmt w:val="bullet"/>
      <w:lvlText w:val="¬"/>
      <w:lvlJc w:val="left"/>
      <w:pPr>
        <w:tabs>
          <w:tab w:val="num" w:pos="1440"/>
        </w:tabs>
        <w:ind w:left="1224" w:hanging="504"/>
      </w:pPr>
      <w:rPr>
        <w:rFonts w:ascii="Wingdings 3" w:hAnsi="Wingdings 3"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517702A3"/>
    <w:multiLevelType w:val="multilevel"/>
    <w:tmpl w:val="552E609E"/>
    <w:lvl w:ilvl="0">
      <w:start w:val="1"/>
      <w:numFmt w:val="decimal"/>
      <w:lvlText w:val="%1."/>
      <w:lvlJc w:val="left"/>
      <w:pPr>
        <w:tabs>
          <w:tab w:val="num" w:pos="360"/>
        </w:tabs>
        <w:ind w:left="360" w:hanging="360"/>
      </w:pPr>
      <w:rPr>
        <w:rFonts w:cs="Times New Roman"/>
      </w:rPr>
    </w:lvl>
    <w:lvl w:ilvl="1">
      <w:start w:val="1"/>
      <w:numFmt w:val="decimal"/>
      <w:lvlText w:val="α.%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6C070827"/>
    <w:multiLevelType w:val="multilevel"/>
    <w:tmpl w:val="B6A434A0"/>
    <w:lvl w:ilvl="0">
      <w:start w:val="1"/>
      <w:numFmt w:val="decimal"/>
      <w:lvlText w:val="%1."/>
      <w:lvlJc w:val="left"/>
      <w:pPr>
        <w:tabs>
          <w:tab w:val="num" w:pos="360"/>
        </w:tabs>
        <w:ind w:left="360" w:hanging="360"/>
      </w:pPr>
      <w:rPr>
        <w:rFonts w:cs="Times New Roman"/>
      </w:rPr>
    </w:lvl>
    <w:lvl w:ilvl="1">
      <w:start w:val="1"/>
      <w:numFmt w:val="decimal"/>
      <w:lvlText w:val="ζ.%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72671E62"/>
    <w:multiLevelType w:val="multilevel"/>
    <w:tmpl w:val="435ED816"/>
    <w:lvl w:ilvl="0">
      <w:start w:val="1"/>
      <w:numFmt w:val="decimal"/>
      <w:lvlText w:val="%1."/>
      <w:lvlJc w:val="left"/>
      <w:pPr>
        <w:tabs>
          <w:tab w:val="num" w:pos="360"/>
        </w:tabs>
        <w:ind w:left="360" w:hanging="360"/>
      </w:pPr>
      <w:rPr>
        <w:rFonts w:cs="Times New Roman" w:hint="default"/>
      </w:rPr>
    </w:lvl>
    <w:lvl w:ilvl="1">
      <w:start w:val="1"/>
      <w:numFmt w:val="decimal"/>
      <w:lvlText w:val="ι.%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78E1232F"/>
    <w:multiLevelType w:val="multilevel"/>
    <w:tmpl w:val="EFDECB60"/>
    <w:lvl w:ilvl="0">
      <w:start w:val="1"/>
      <w:numFmt w:val="decimal"/>
      <w:lvlText w:val="%1."/>
      <w:lvlJc w:val="left"/>
      <w:pPr>
        <w:tabs>
          <w:tab w:val="num" w:pos="360"/>
        </w:tabs>
        <w:ind w:left="360" w:hanging="360"/>
      </w:pPr>
      <w:rPr>
        <w:rFonts w:cs="Times New Roman"/>
      </w:rPr>
    </w:lvl>
    <w:lvl w:ilvl="1">
      <w:start w:val="1"/>
      <w:numFmt w:val="decimal"/>
      <w:lvlText w:val="ε.%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6"/>
  </w:num>
  <w:num w:numId="2">
    <w:abstractNumId w:val="1"/>
  </w:num>
  <w:num w:numId="3">
    <w:abstractNumId w:val="4"/>
  </w:num>
  <w:num w:numId="4">
    <w:abstractNumId w:val="5"/>
  </w:num>
  <w:num w:numId="5">
    <w:abstractNumId w:val="9"/>
  </w:num>
  <w:num w:numId="6">
    <w:abstractNumId w:val="3"/>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F4"/>
    <w:rsid w:val="008E1DF4"/>
    <w:rsid w:val="00F53D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F4"/>
    <w:rPr>
      <w:rFonts w:ascii="Calibri" w:eastAsia="Calibri" w:hAnsi="Calibri"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1D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F4"/>
    <w:rPr>
      <w:rFonts w:ascii="Calibri" w:eastAsia="Calibri" w:hAnsi="Calibri"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1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8522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2018-01-19T11:45:00Z</dcterms:created>
  <dcterms:modified xsi:type="dcterms:W3CDTF">2018-01-19T11:45:00Z</dcterms:modified>
</cp:coreProperties>
</file>